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E250A" w14:textId="77777777" w:rsidR="00AB6AD6" w:rsidRDefault="00AB6AD6">
      <w:pPr>
        <w:spacing w:line="240" w:lineRule="auto"/>
      </w:pPr>
    </w:p>
    <w:p w14:paraId="73EFE8AA" w14:textId="77777777" w:rsidR="00AB6AD6" w:rsidRDefault="006C75E1">
      <w:pPr>
        <w:spacing w:line="240" w:lineRule="auto"/>
        <w:rPr>
          <w:rFonts w:ascii="Arial" w:eastAsia="Arial" w:hAnsi="Arial" w:cs="Arial"/>
          <w:b/>
          <w:bCs/>
          <w:sz w:val="28"/>
          <w:szCs w:val="28"/>
        </w:rPr>
      </w:pPr>
      <w:r>
        <w:rPr>
          <w:rFonts w:ascii="Arial" w:eastAsia="Arial" w:hAnsi="Arial" w:cs="Arial"/>
          <w:b/>
          <w:bCs/>
          <w:sz w:val="28"/>
          <w:szCs w:val="28"/>
        </w:rPr>
        <w:t xml:space="preserve">Purpose </w:t>
      </w:r>
    </w:p>
    <w:p w14:paraId="55BDC1A9" w14:textId="77777777" w:rsidR="00AB6AD6" w:rsidRDefault="006C75E1">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benign uterus resection is usually to alleviate abnormal uterine bleeding (AUB), pelvic pain, prolapse, leiomyomas, endometriosis and gender dysphoria.</w:t>
      </w:r>
    </w:p>
    <w:p w14:paraId="5D51C64E" w14:textId="77777777" w:rsidR="00EB56DB" w:rsidRDefault="00EB56DB">
      <w:pPr>
        <w:pBdr>
          <w:top w:val="nil"/>
          <w:left w:val="nil"/>
          <w:bottom w:val="nil"/>
          <w:right w:val="nil"/>
          <w:between w:val="nil"/>
        </w:pBdr>
        <w:spacing w:line="240" w:lineRule="auto"/>
        <w:rPr>
          <w:rFonts w:ascii="Arial" w:eastAsia="Arial" w:hAnsi="Arial" w:cs="Arial"/>
          <w:b/>
          <w:bCs/>
          <w:color w:val="000000"/>
          <w:sz w:val="28"/>
          <w:szCs w:val="28"/>
        </w:rPr>
      </w:pPr>
    </w:p>
    <w:p w14:paraId="6BBB4CA1" w14:textId="745433BD" w:rsidR="00AB6AD6" w:rsidRDefault="006C75E1">
      <w:pPr>
        <w:pBdr>
          <w:top w:val="nil"/>
          <w:left w:val="nil"/>
          <w:bottom w:val="nil"/>
          <w:right w:val="nil"/>
          <w:between w:val="nil"/>
        </w:pBdr>
        <w:spacing w:line="240" w:lineRule="auto"/>
        <w:rPr>
          <w:rFonts w:ascii="Arial" w:eastAsia="Arial" w:hAnsi="Arial" w:cs="Arial"/>
          <w:b/>
          <w:bCs/>
          <w:color w:val="000000"/>
          <w:sz w:val="28"/>
          <w:szCs w:val="28"/>
        </w:rPr>
      </w:pPr>
      <w:r>
        <w:rPr>
          <w:rFonts w:ascii="Arial" w:eastAsia="Arial" w:hAnsi="Arial" w:cs="Arial"/>
          <w:b/>
          <w:bCs/>
          <w:color w:val="000000"/>
          <w:sz w:val="28"/>
          <w:szCs w:val="28"/>
        </w:rPr>
        <w:t xml:space="preserve">Procedure </w:t>
      </w:r>
    </w:p>
    <w:p w14:paraId="0B77AD55"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Determine orientation of the specimen.  Anterior will have a bladder reflection that is higher than the tapered posterior reflection.  Adnexa are posterior to the round </w:t>
      </w:r>
      <w:proofErr w:type="gramStart"/>
      <w:r>
        <w:rPr>
          <w:rFonts w:ascii="Times New Roman" w:eastAsia="Times New Roman" w:hAnsi="Times New Roman" w:cs="Times New Roman"/>
          <w:color w:val="000000"/>
          <w:sz w:val="24"/>
          <w:szCs w:val="24"/>
        </w:rPr>
        <w:t>ligament</w:t>
      </w:r>
      <w:proofErr w:type="gramEnd"/>
      <w:r>
        <w:rPr>
          <w:rFonts w:ascii="Times New Roman" w:eastAsia="Times New Roman" w:hAnsi="Times New Roman" w:cs="Times New Roman"/>
          <w:color w:val="000000"/>
          <w:sz w:val="24"/>
          <w:szCs w:val="24"/>
        </w:rPr>
        <w:t xml:space="preserve"> and the fallopian tube is anterior to the ovary.  </w:t>
      </w:r>
    </w:p>
    <w:p w14:paraId="09415EA3"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the uterus and cervix and measure the uterus from superior to inferior, cornu to cornu and anterior to posterior.</w:t>
      </w:r>
    </w:p>
    <w:p w14:paraId="2BD85501"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 adnexa if present stating measurements of right and left ovaries and fallopian tubes. </w:t>
      </w:r>
    </w:p>
    <w:p w14:paraId="2541CD46"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uterine serosa if abnormal i.e.: adhesions present, nodules and defects.</w:t>
      </w:r>
    </w:p>
    <w:p w14:paraId="686CBBF6"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ectocervical mucosa, shape of the cervical </w:t>
      </w:r>
      <w:proofErr w:type="spellStart"/>
      <w:r>
        <w:rPr>
          <w:rFonts w:ascii="Times New Roman" w:eastAsia="Times New Roman" w:hAnsi="Times New Roman" w:cs="Times New Roman"/>
          <w:color w:val="000000"/>
          <w:sz w:val="24"/>
          <w:szCs w:val="24"/>
        </w:rPr>
        <w:t>os</w:t>
      </w:r>
      <w:proofErr w:type="spellEnd"/>
      <w:r>
        <w:rPr>
          <w:rFonts w:ascii="Times New Roman" w:eastAsia="Times New Roman" w:hAnsi="Times New Roman" w:cs="Times New Roman"/>
          <w:color w:val="000000"/>
          <w:sz w:val="24"/>
          <w:szCs w:val="24"/>
        </w:rPr>
        <w:t>, and if the endocervical canal is patent. If for prolapse, measure length and diameter of cervix.</w:t>
      </w:r>
    </w:p>
    <w:p w14:paraId="2E73BBC9"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Bivalve the uterus and cervix into anterior and posterior halves using scissors or a straight blade. </w:t>
      </w:r>
    </w:p>
    <w:p w14:paraId="28F7EBAE"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endocervical canal and endometrial </w:t>
      </w:r>
      <w:proofErr w:type="gramStart"/>
      <w:r>
        <w:rPr>
          <w:rFonts w:ascii="Times New Roman" w:eastAsia="Times New Roman" w:hAnsi="Times New Roman" w:cs="Times New Roman"/>
          <w:color w:val="000000"/>
          <w:sz w:val="24"/>
          <w:szCs w:val="24"/>
        </w:rPr>
        <w:t>cavity</w:t>
      </w:r>
      <w:proofErr w:type="gramEnd"/>
      <w:r>
        <w:rPr>
          <w:rFonts w:ascii="Times New Roman" w:eastAsia="Times New Roman" w:hAnsi="Times New Roman" w:cs="Times New Roman"/>
          <w:color w:val="000000"/>
          <w:sz w:val="24"/>
          <w:szCs w:val="24"/>
        </w:rPr>
        <w:t xml:space="preserve">. Describe any polyps, lesions or cysts. State the location of </w:t>
      </w:r>
      <w:proofErr w:type="gramStart"/>
      <w:r>
        <w:rPr>
          <w:rFonts w:ascii="Times New Roman" w:eastAsia="Times New Roman" w:hAnsi="Times New Roman" w:cs="Times New Roman"/>
          <w:color w:val="000000"/>
          <w:sz w:val="24"/>
          <w:szCs w:val="24"/>
        </w:rPr>
        <w:t>lesions</w:t>
      </w:r>
      <w:proofErr w:type="gramEnd"/>
      <w:r>
        <w:rPr>
          <w:rFonts w:ascii="Times New Roman" w:eastAsia="Times New Roman" w:hAnsi="Times New Roman" w:cs="Times New Roman"/>
          <w:color w:val="000000"/>
          <w:sz w:val="24"/>
          <w:szCs w:val="24"/>
        </w:rPr>
        <w:t xml:space="preserve"> if present. </w:t>
      </w:r>
    </w:p>
    <w:p w14:paraId="4A194DFF"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Serially section the uterus from fundus up to the lower uterine segment. </w:t>
      </w:r>
    </w:p>
    <w:p w14:paraId="47D21D08"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endometrial tissue and thickness.</w:t>
      </w:r>
    </w:p>
    <w:p w14:paraId="62B09D3C" w14:textId="77777777" w:rsidR="00AB6AD6" w:rsidRDefault="006C75E1">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myometrium (trabecular, cysts or nodules present and size in greatest dimension) and maximum thickness of the myometrium.  If nodules are present, describe location (sub serosal, sub mucosal, intramural) and if whorled, cystic, necrotic or hemorrhagic. Give percentage or hemorrhage and/or necrosis.</w:t>
      </w:r>
    </w:p>
    <w:p w14:paraId="2C8D0521" w14:textId="77777777" w:rsidR="00AB6AD6" w:rsidRDefault="006C75E1">
      <w:pPr>
        <w:numPr>
          <w:ilvl w:val="0"/>
          <w:numId w:val="1"/>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describe the ovaries and fallopian tubes.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90A7FE8" w14:textId="77777777" w:rsidR="00AB6AD6" w:rsidRDefault="00AB6AD6">
      <w:pPr>
        <w:spacing w:line="240" w:lineRule="auto"/>
        <w:ind w:left="360"/>
        <w:rPr>
          <w:rFonts w:ascii="Times New Roman" w:eastAsia="Times New Roman" w:hAnsi="Times New Roman" w:cs="Times New Roman"/>
          <w:sz w:val="24"/>
          <w:szCs w:val="24"/>
        </w:rPr>
      </w:pPr>
    </w:p>
    <w:p w14:paraId="62D9B49B" w14:textId="253186DD" w:rsidR="00AB6AD6" w:rsidRPr="00EB56DB" w:rsidRDefault="006C75E1">
      <w:pPr>
        <w:spacing w:line="240" w:lineRule="auto"/>
        <w:ind w:left="360"/>
        <w:rPr>
          <w:rFonts w:ascii="Arial" w:eastAsia="Times New Roman" w:hAnsi="Arial" w:cs="Arial"/>
          <w:b/>
          <w:bCs/>
          <w:sz w:val="28"/>
          <w:szCs w:val="28"/>
        </w:rPr>
      </w:pPr>
      <w:r w:rsidRPr="00EB56DB">
        <w:rPr>
          <w:rFonts w:ascii="Arial" w:eastAsia="Times New Roman" w:hAnsi="Arial" w:cs="Arial"/>
          <w:b/>
          <w:bCs/>
          <w:sz w:val="28"/>
          <w:szCs w:val="28"/>
        </w:rPr>
        <w:t xml:space="preserve">Sections </w:t>
      </w:r>
    </w:p>
    <w:p w14:paraId="54F28988" w14:textId="77777777" w:rsidR="00AB6AD6" w:rsidRDefault="006C75E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section each of the anterior and posterior cervix at the transformation zone (endo and </w:t>
      </w:r>
      <w:proofErr w:type="spellStart"/>
      <w:r>
        <w:rPr>
          <w:rFonts w:ascii="Times New Roman" w:eastAsia="Times New Roman" w:hAnsi="Times New Roman" w:cs="Times New Roman"/>
          <w:color w:val="000000"/>
          <w:sz w:val="24"/>
          <w:szCs w:val="24"/>
        </w:rPr>
        <w:t>ecto</w:t>
      </w:r>
      <w:proofErr w:type="spellEnd"/>
      <w:r>
        <w:rPr>
          <w:rFonts w:ascii="Times New Roman" w:eastAsia="Times New Roman" w:hAnsi="Times New Roman" w:cs="Times New Roman"/>
          <w:color w:val="000000"/>
          <w:sz w:val="24"/>
          <w:szCs w:val="24"/>
        </w:rPr>
        <w:t xml:space="preserve"> cervix).</w:t>
      </w:r>
    </w:p>
    <w:p w14:paraId="7792FD78" w14:textId="77777777" w:rsidR="00AB6AD6" w:rsidRDefault="006C75E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present, any cervical lesions or endometrial polyps completely submitted.</w:t>
      </w:r>
    </w:p>
    <w:p w14:paraId="5D12E758" w14:textId="77777777" w:rsidR="00AB6AD6" w:rsidRDefault="006C75E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full thickness section each of the anterior and posterior </w:t>
      </w:r>
      <w:proofErr w:type="spellStart"/>
      <w:r>
        <w:rPr>
          <w:rFonts w:ascii="Times New Roman" w:eastAsia="Times New Roman" w:hAnsi="Times New Roman" w:cs="Times New Roman"/>
          <w:color w:val="000000"/>
          <w:sz w:val="24"/>
          <w:szCs w:val="24"/>
        </w:rPr>
        <w:t>endomyometrium</w:t>
      </w:r>
      <w:proofErr w:type="spellEnd"/>
      <w:r>
        <w:rPr>
          <w:rFonts w:ascii="Times New Roman" w:eastAsia="Times New Roman" w:hAnsi="Times New Roman" w:cs="Times New Roman"/>
          <w:color w:val="000000"/>
          <w:sz w:val="24"/>
          <w:szCs w:val="24"/>
        </w:rPr>
        <w:t>.</w:t>
      </w:r>
    </w:p>
    <w:p w14:paraId="3941F376" w14:textId="77777777" w:rsidR="00AB6AD6" w:rsidRDefault="006C75E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Any possible fibroids or cysts sampled. </w:t>
      </w:r>
      <w:sdt>
        <w:sdtPr>
          <w:tag w:val="goog_rdk_0"/>
          <w:id w:val="-2122329543"/>
        </w:sdtPr>
        <w:sdtEndPr/>
        <w:sdtContent/>
      </w:sdt>
      <w:r>
        <w:rPr>
          <w:rFonts w:ascii="Times New Roman" w:eastAsia="Times New Roman" w:hAnsi="Times New Roman" w:cs="Times New Roman"/>
          <w:color w:val="000000"/>
          <w:sz w:val="24"/>
          <w:szCs w:val="24"/>
        </w:rPr>
        <w:t xml:space="preserve">For fibroids, representative sections of multiple nodules can be submitted in one cassette.  For any fibroid above 5 cm, submit 1 section per centimeter with any cystic or necrotic areas sampled.  </w:t>
      </w:r>
    </w:p>
    <w:p w14:paraId="3225BD33" w14:textId="77777777" w:rsidR="00AB6AD6" w:rsidRDefault="006C75E1">
      <w:pPr>
        <w:numPr>
          <w:ilvl w:val="0"/>
          <w:numId w:val="2"/>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one cassette each for right and left ovaries. </w:t>
      </w:r>
      <w:r w:rsidRPr="005D149E">
        <w:rPr>
          <w:rFonts w:ascii="Times New Roman" w:eastAsia="Times New Roman" w:hAnsi="Times New Roman" w:cs="Times New Roman"/>
          <w:sz w:val="24"/>
          <w:szCs w:val="24"/>
        </w:rPr>
        <w:t xml:space="preserve">One cassette each for right and left fallopian tubes.  The fimbria must be completely submitted, but cross-sections of normal fallopian tube need not be submitted if submission </w:t>
      </w:r>
      <w:proofErr w:type="gramStart"/>
      <w:r w:rsidRPr="005D149E">
        <w:rPr>
          <w:rFonts w:ascii="Times New Roman" w:eastAsia="Times New Roman" w:hAnsi="Times New Roman" w:cs="Times New Roman"/>
          <w:sz w:val="24"/>
          <w:szCs w:val="24"/>
        </w:rPr>
        <w:t>would require</w:t>
      </w:r>
      <w:proofErr w:type="gramEnd"/>
      <w:r w:rsidRPr="005D149E">
        <w:rPr>
          <w:rFonts w:ascii="Times New Roman" w:eastAsia="Times New Roman" w:hAnsi="Times New Roman" w:cs="Times New Roman"/>
          <w:sz w:val="24"/>
          <w:szCs w:val="24"/>
        </w:rPr>
        <w:t xml:space="preserve"> additional blocks</w:t>
      </w:r>
      <w:r>
        <w:rPr>
          <w:rFonts w:ascii="Times New Roman" w:eastAsia="Times New Roman" w:hAnsi="Times New Roman" w:cs="Times New Roman"/>
          <w:color w:val="000000"/>
          <w:sz w:val="24"/>
          <w:szCs w:val="24"/>
        </w:rPr>
        <w:t>.</w:t>
      </w:r>
    </w:p>
    <w:p w14:paraId="6CD8245E" w14:textId="77777777" w:rsidR="00AB6AD6" w:rsidRDefault="00AB6AD6">
      <w:pPr>
        <w:pBdr>
          <w:top w:val="nil"/>
          <w:left w:val="nil"/>
          <w:bottom w:val="nil"/>
          <w:right w:val="nil"/>
          <w:between w:val="nil"/>
        </w:pBdr>
        <w:spacing w:line="240" w:lineRule="auto"/>
        <w:rPr>
          <w:rFonts w:ascii="Arial" w:eastAsia="Arial" w:hAnsi="Arial" w:cs="Arial"/>
          <w:b/>
          <w:bCs/>
          <w:color w:val="000000"/>
          <w:sz w:val="28"/>
          <w:szCs w:val="28"/>
        </w:rPr>
      </w:pPr>
    </w:p>
    <w:p w14:paraId="3AF817FE" w14:textId="77777777" w:rsidR="00AB6AD6" w:rsidRDefault="00AB6AD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5ABD5033" w14:textId="77777777" w:rsidR="00AB6AD6" w:rsidRDefault="00AB6AD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2BBAA811" w14:textId="77777777" w:rsidR="00AB6AD6" w:rsidRDefault="00AB6AD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32CE7176" w14:textId="77777777" w:rsidR="00AB6AD6" w:rsidRDefault="00AB6AD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p w14:paraId="34E39B2D" w14:textId="77777777" w:rsidR="00AB6AD6" w:rsidRDefault="00AB6AD6">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highlight w:val="white"/>
        </w:rPr>
      </w:pPr>
    </w:p>
    <w:sectPr w:rsidR="00AB6AD6">
      <w:headerReference w:type="default" r:id="rId8"/>
      <w:headerReference w:type="first" r:id="rId9"/>
      <w:pgSz w:w="12240" w:h="15840"/>
      <w:pgMar w:top="1133" w:right="1440" w:bottom="1440" w:left="1440" w:header="86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38232" w14:textId="77777777" w:rsidR="006C75E1" w:rsidRDefault="006C75E1">
      <w:pPr>
        <w:spacing w:after="0" w:line="240" w:lineRule="auto"/>
      </w:pPr>
      <w:r>
        <w:separator/>
      </w:r>
    </w:p>
  </w:endnote>
  <w:endnote w:type="continuationSeparator" w:id="0">
    <w:p w14:paraId="20E72A80" w14:textId="77777777" w:rsidR="006C75E1" w:rsidRDefault="006C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49A22F-5DE8-489A-9A6E-AD23F4E9312B}"/>
    <w:embedBold r:id="rId2" w:fontKey="{97C031C1-D6DF-4DA3-BA54-71350C3F7238}"/>
  </w:font>
  <w:font w:name="Tahoma">
    <w:panose1 w:val="020B0604030504040204"/>
    <w:charset w:val="00"/>
    <w:family w:val="swiss"/>
    <w:pitch w:val="variable"/>
    <w:sig w:usb0="E1002EFF" w:usb1="C000605B" w:usb2="00000029" w:usb3="00000000" w:csb0="000101FF" w:csb1="00000000"/>
    <w:embedRegular r:id="rId3" w:fontKey="{DD6D0287-3FA5-4C13-8DE3-FC7C32577779}"/>
  </w:font>
  <w:font w:name="Georgia">
    <w:panose1 w:val="02040502050405020303"/>
    <w:charset w:val="00"/>
    <w:family w:val="roman"/>
    <w:pitch w:val="variable"/>
    <w:sig w:usb0="00000287" w:usb1="00000000" w:usb2="00000000" w:usb3="00000000" w:csb0="0000009F" w:csb1="00000000"/>
    <w:embedItalic r:id="rId4" w:fontKey="{C2E481EE-19DB-4DC4-867A-23DDE61767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07D3D5B-EE12-495A-811E-F25D6F3AD6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AEB02" w14:textId="77777777" w:rsidR="006C75E1" w:rsidRDefault="006C75E1">
      <w:pPr>
        <w:spacing w:after="0" w:line="240" w:lineRule="auto"/>
      </w:pPr>
      <w:r>
        <w:separator/>
      </w:r>
    </w:p>
  </w:footnote>
  <w:footnote w:type="continuationSeparator" w:id="0">
    <w:p w14:paraId="4C5AC467" w14:textId="77777777" w:rsidR="006C75E1" w:rsidRDefault="006C7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E287" w14:textId="77777777" w:rsidR="00AB6AD6" w:rsidRDefault="00AB6AD6">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p>
  <w:p w14:paraId="002905AD" w14:textId="77777777" w:rsidR="00AB6AD6" w:rsidRDefault="006C75E1">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r>
      <w:rPr>
        <w:rFonts w:ascii="Arial" w:eastAsia="Arial" w:hAnsi="Arial" w:cs="Arial"/>
        <w:color w:val="000000"/>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B674" w14:textId="77777777" w:rsidR="00AB6AD6" w:rsidRDefault="006C75E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1AB7EADB" wp14:editId="1CB98EC1">
          <wp:simplePos x="0" y="0"/>
          <wp:positionH relativeFrom="column">
            <wp:posOffset>-625032</wp:posOffset>
          </wp:positionH>
          <wp:positionV relativeFrom="paragraph">
            <wp:posOffset>167182</wp:posOffset>
          </wp:positionV>
          <wp:extent cx="1462177" cy="9144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177" cy="914400"/>
                  </a:xfrm>
                  <a:prstGeom prst="rect">
                    <a:avLst/>
                  </a:prstGeom>
                  <a:ln/>
                </pic:spPr>
              </pic:pic>
            </a:graphicData>
          </a:graphic>
        </wp:anchor>
      </w:drawing>
    </w:r>
  </w:p>
  <w:p w14:paraId="29ED74E1" w14:textId="77777777" w:rsidR="00AB6AD6" w:rsidRDefault="00AB6AD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15A9B56E" w14:textId="77777777" w:rsidR="00AB6AD6" w:rsidRDefault="006C75E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noProof/>
      </w:rPr>
      <mc:AlternateContent>
        <mc:Choice Requires="wps">
          <w:drawing>
            <wp:anchor distT="0" distB="0" distL="114300" distR="114300" simplePos="0" relativeHeight="251659264" behindDoc="0" locked="0" layoutInCell="1" hidden="0" allowOverlap="1" wp14:anchorId="15A648A0" wp14:editId="273CD2AE">
              <wp:simplePos x="0" y="0"/>
              <wp:positionH relativeFrom="column">
                <wp:posOffset>813442</wp:posOffset>
              </wp:positionH>
              <wp:positionV relativeFrom="paragraph">
                <wp:posOffset>136747</wp:posOffset>
              </wp:positionV>
              <wp:extent cx="4365625" cy="811530"/>
              <wp:effectExtent l="0" t="0" r="0" b="0"/>
              <wp:wrapNone/>
              <wp:docPr id="3" name="Rectangle 3"/>
              <wp:cNvGraphicFramePr/>
              <a:graphic xmlns:a="http://schemas.openxmlformats.org/drawingml/2006/main">
                <a:graphicData uri="http://schemas.microsoft.com/office/word/2010/wordprocessingShape">
                  <wps:wsp>
                    <wps:cNvSpPr/>
                    <wps:spPr>
                      <a:xfrm>
                        <a:off x="3167950" y="3378998"/>
                        <a:ext cx="4356100" cy="802005"/>
                      </a:xfrm>
                      <a:prstGeom prst="rect">
                        <a:avLst/>
                      </a:prstGeom>
                      <a:solidFill>
                        <a:schemeClr val="lt1"/>
                      </a:solidFill>
                      <a:ln>
                        <a:noFill/>
                      </a:ln>
                    </wps:spPr>
                    <wps:txbx>
                      <w:txbxContent>
                        <w:p w14:paraId="636B2BA9" w14:textId="77777777" w:rsidR="00AB6AD6" w:rsidRDefault="006C75E1">
                          <w:pPr>
                            <w:spacing w:after="0" w:line="240" w:lineRule="auto"/>
                            <w:jc w:val="center"/>
                            <w:textDirection w:val="btLr"/>
                          </w:pPr>
                          <w:r>
                            <w:rPr>
                              <w:rFonts w:ascii="Arial" w:eastAsia="Arial" w:hAnsi="Arial" w:cs="Arial"/>
                              <w:b/>
                              <w:color w:val="000000"/>
                              <w:sz w:val="28"/>
                            </w:rPr>
                            <w:t>Department of Pathology-Grossing</w:t>
                          </w:r>
                        </w:p>
                        <w:p w14:paraId="2176D30E" w14:textId="77777777" w:rsidR="00AB6AD6" w:rsidRDefault="006C75E1">
                          <w:pPr>
                            <w:spacing w:line="275" w:lineRule="auto"/>
                            <w:jc w:val="center"/>
                            <w:textDirection w:val="btLr"/>
                          </w:pPr>
                          <w:r>
                            <w:rPr>
                              <w:rFonts w:ascii="Arial" w:eastAsia="Arial" w:hAnsi="Arial" w:cs="Arial"/>
                              <w:color w:val="000000"/>
                              <w:sz w:val="28"/>
                            </w:rPr>
                            <w:t xml:space="preserve">Benign Hysterectomy </w:t>
                          </w:r>
                        </w:p>
                        <w:p w14:paraId="668B7FB3" w14:textId="77777777" w:rsidR="00AB6AD6" w:rsidRDefault="006C75E1">
                          <w:pPr>
                            <w:spacing w:line="275" w:lineRule="auto"/>
                            <w:jc w:val="center"/>
                            <w:textDirection w:val="btLr"/>
                          </w:pPr>
                          <w:r>
                            <w:rPr>
                              <w:rFonts w:ascii="Arial" w:eastAsia="Arial" w:hAnsi="Arial" w:cs="Arial"/>
                              <w:color w:val="000000"/>
                              <w:sz w:val="16"/>
                            </w:rPr>
                            <w:t xml:space="preserve">Printed Copies are not always </w:t>
                          </w:r>
                          <w:proofErr w:type="gramStart"/>
                          <w:r>
                            <w:rPr>
                              <w:rFonts w:ascii="Arial" w:eastAsia="Arial" w:hAnsi="Arial" w:cs="Arial"/>
                              <w:color w:val="000000"/>
                              <w:sz w:val="16"/>
                            </w:rPr>
                            <w:t>up-to-date</w:t>
                          </w:r>
                          <w:proofErr w:type="gramEnd"/>
                          <w:r>
                            <w:rPr>
                              <w:rFonts w:ascii="Arial" w:eastAsia="Arial" w:hAnsi="Arial" w:cs="Arial"/>
                              <w:color w:val="000000"/>
                              <w:sz w:val="16"/>
                            </w:rPr>
                            <w:t>-See online for current version.</w:t>
                          </w:r>
                        </w:p>
                      </w:txbxContent>
                    </wps:txbx>
                    <wps:bodyPr spcFirstLastPara="1" wrap="square" lIns="91425" tIns="45700" rIns="91425" bIns="45700" anchor="t" anchorCtr="0">
                      <a:noAutofit/>
                    </wps:bodyPr>
                  </wps:wsp>
                </a:graphicData>
              </a:graphic>
            </wp:anchor>
          </w:drawing>
        </mc:Choice>
        <mc:Fallback>
          <w:pict>
            <v:rect w14:anchorId="15A648A0" id="Rectangle 3" o:spid="_x0000_s1026" style="position:absolute;left:0;text-align:left;margin-left:64.05pt;margin-top:10.75pt;width:343.75pt;height:6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" fillcolor="white [3201]" stroked="f">
              <v:textbox inset="2.53958mm,1.2694mm,2.53958mm,1.2694mm">
                <w:txbxContent>
                  <w:p w14:paraId="636B2BA9" w14:textId="77777777" w:rsidR="00AB6AD6" w:rsidRDefault="006C75E1">
                    <w:pPr>
                      <w:spacing w:after="0" w:line="240" w:lineRule="auto"/>
                      <w:jc w:val="center"/>
                      <w:textDirection w:val="btLr"/>
                    </w:pPr>
                    <w:r>
                      <w:rPr>
                        <w:rFonts w:ascii="Arial" w:eastAsia="Arial" w:hAnsi="Arial" w:cs="Arial"/>
                        <w:b/>
                        <w:color w:val="000000"/>
                        <w:sz w:val="28"/>
                      </w:rPr>
                      <w:t>Department of Pathology-Grossing</w:t>
                    </w:r>
                  </w:p>
                  <w:p w14:paraId="2176D30E" w14:textId="77777777" w:rsidR="00AB6AD6" w:rsidRDefault="006C75E1">
                    <w:pPr>
                      <w:spacing w:line="275" w:lineRule="auto"/>
                      <w:jc w:val="center"/>
                      <w:textDirection w:val="btLr"/>
                    </w:pPr>
                    <w:r>
                      <w:rPr>
                        <w:rFonts w:ascii="Arial" w:eastAsia="Arial" w:hAnsi="Arial" w:cs="Arial"/>
                        <w:color w:val="000000"/>
                        <w:sz w:val="28"/>
                      </w:rPr>
                      <w:t xml:space="preserve">Benign Hysterectomy </w:t>
                    </w:r>
                  </w:p>
                  <w:p w14:paraId="668B7FB3" w14:textId="77777777" w:rsidR="00AB6AD6" w:rsidRDefault="006C75E1">
                    <w:pPr>
                      <w:spacing w:line="275" w:lineRule="auto"/>
                      <w:jc w:val="center"/>
                      <w:textDirection w:val="btLr"/>
                    </w:pPr>
                    <w:r>
                      <w:rPr>
                        <w:rFonts w:ascii="Arial" w:eastAsia="Arial" w:hAnsi="Arial" w:cs="Arial"/>
                        <w:color w:val="000000"/>
                        <w:sz w:val="16"/>
                      </w:rPr>
                      <w:t xml:space="preserve">Printed Copies are not always </w:t>
                    </w:r>
                    <w:proofErr w:type="gramStart"/>
                    <w:r>
                      <w:rPr>
                        <w:rFonts w:ascii="Arial" w:eastAsia="Arial" w:hAnsi="Arial" w:cs="Arial"/>
                        <w:color w:val="000000"/>
                        <w:sz w:val="16"/>
                      </w:rPr>
                      <w:t>up-to-date</w:t>
                    </w:r>
                    <w:proofErr w:type="gramEnd"/>
                    <w:r>
                      <w:rPr>
                        <w:rFonts w:ascii="Arial" w:eastAsia="Arial" w:hAnsi="Arial" w:cs="Arial"/>
                        <w:color w:val="000000"/>
                        <w:sz w:val="16"/>
                      </w:rPr>
                      <w:t>-See online for current version.</w:t>
                    </w:r>
                  </w:p>
                </w:txbxContent>
              </v:textbox>
            </v:rect>
          </w:pict>
        </mc:Fallback>
      </mc:AlternateContent>
    </w:r>
  </w:p>
  <w:p w14:paraId="2AA200B3" w14:textId="77777777" w:rsidR="00AB6AD6" w:rsidRDefault="00AB6AD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24018E4C" w14:textId="77777777" w:rsidR="00AB6AD6" w:rsidRDefault="00AB6AD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6ABCC715" w14:textId="77777777" w:rsidR="00AB6AD6" w:rsidRDefault="00AB6AD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rPr>
        <w:color w:val="000000"/>
      </w:rPr>
    </w:pPr>
  </w:p>
  <w:p w14:paraId="672E69C9" w14:textId="77777777" w:rsidR="00AB6AD6" w:rsidRDefault="00AB6AD6">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rPr>
        <w:color w:val="000000"/>
      </w:rPr>
    </w:pPr>
  </w:p>
  <w:p w14:paraId="7A9D3934" w14:textId="77777777" w:rsidR="00AB6AD6" w:rsidRDefault="006C75E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8640"/>
      <w:rPr>
        <w:rFonts w:ascii="Arial" w:eastAsia="Arial" w:hAnsi="Arial" w:cs="Arial"/>
        <w:color w:val="000000"/>
        <w:sz w:val="28"/>
        <w:szCs w:val="28"/>
      </w:rPr>
    </w:pP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1</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200F3"/>
    <w:multiLevelType w:val="multilevel"/>
    <w:tmpl w:val="9B36DBA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1413B8"/>
    <w:multiLevelType w:val="multilevel"/>
    <w:tmpl w:val="5F66382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6764124">
    <w:abstractNumId w:val="0"/>
  </w:num>
  <w:num w:numId="2" w16cid:durableId="1487043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AD6"/>
    <w:rsid w:val="0040522A"/>
    <w:rsid w:val="005D149E"/>
    <w:rsid w:val="006C75E1"/>
    <w:rsid w:val="00A77E6B"/>
    <w:rsid w:val="00AB6AD6"/>
    <w:rsid w:val="00C94146"/>
    <w:rsid w:val="00EB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E109"/>
  <w15:docId w15:val="{C9024B6B-D2B7-4A55-91F7-BE08EF8A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To1U7QNUJ8ottAvADmgTtlpAw==">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2030</Characters>
  <Application>Microsoft Office Word</Application>
  <DocSecurity>0</DocSecurity>
  <Lines>44</Lines>
  <Paragraphs>20</Paragraphs>
  <ScaleCrop>false</ScaleCrop>
  <Company>Michigan Medicine</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3</cp:revision>
  <dcterms:created xsi:type="dcterms:W3CDTF">2026-01-22T22:33:00Z</dcterms:created>
  <dcterms:modified xsi:type="dcterms:W3CDTF">2026-01-27T20:53:00Z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property>
  <property fmtid="{D5CDD505-2E9C-101B-9397-08002B2CF9AE}" pid="3" name="MC_Number">
    <vt:lpwstr/>
  </property>
  <property fmtid="{D5CDD505-2E9C-101B-9397-08002B2CF9AE}" pid="4" name="MC_Revision">
    <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s">
    <vt:lpwstr/>
  </property>
  <property fmtid="{D5CDD505-2E9C-101B-9397-08002B2CF9AE}" pid="9" name="MC_Status">
    <vt:lpwstr/>
  </property>
  <property fmtid="{D5CDD505-2E9C-101B-9397-08002B2CF9AE}" pid="10" name="MC_Created Date">
    <vt:lpwstr/>
  </property>
  <property fmtid="{D5CDD505-2E9C-101B-9397-08002B2CF9AE}" pid="11" name="MC_Effective Date">
    <vt:lpwstr/>
  </property>
  <property fmtid="{D5CDD505-2E9C-101B-9397-08002B2CF9AE}" pid="12" name="MC_Expiration Date">
    <vt:lpwstr/>
  </property>
  <property fmtid="{D5CDD505-2E9C-101B-9397-08002B2CF9AE}" pid="13" name="MC_Release Date">
    <vt:lpwstr/>
  </property>
  <property fmtid="{D5CDD505-2E9C-101B-9397-08002B2CF9AE}" pid="14" name="MC_Next Review Date">
    <vt:lpwstr/>
  </property>
  <property fmtid="{D5CDD505-2E9C-101B-9397-08002B2CF9AE}" pid="15" name="MC_CF_Custom Fields">
    <vt:lpwstr/>
  </property>
</Properties>
</file>